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350"/>
      </w:tblGrid>
      <w:tr w:rsidR="00C838D3" w:rsidRPr="00653076" w:rsidTr="00653076">
        <w:trPr>
          <w:jc w:val="center"/>
        </w:trPr>
        <w:tc>
          <w:tcPr>
            <w:tcW w:w="9350" w:type="dxa"/>
            <w:shd w:val="clear" w:color="auto" w:fill="B6DDE8" w:themeFill="accent5" w:themeFillTint="66"/>
          </w:tcPr>
          <w:p w:rsidR="00C838D3" w:rsidRPr="00653076" w:rsidRDefault="00966BEF" w:rsidP="00966BEF">
            <w:pPr>
              <w:pBdr>
                <w:bottom w:val="single" w:sz="12" w:space="1" w:color="auto"/>
              </w:pBdr>
              <w:tabs>
                <w:tab w:val="center" w:pos="3960"/>
                <w:tab w:val="right" w:pos="8640"/>
              </w:tabs>
              <w:ind w:left="-720"/>
              <w:jc w:val="center"/>
              <w:rPr>
                <w:rFonts w:ascii="Verdana" w:hAnsi="Verdana"/>
                <w:b/>
                <w:sz w:val="32"/>
                <w:szCs w:val="20"/>
              </w:rPr>
            </w:pPr>
            <w:r w:rsidRPr="00653076">
              <w:rPr>
                <w:rFonts w:ascii="Verdana" w:hAnsi="Verdana"/>
                <w:b/>
                <w:sz w:val="32"/>
                <w:szCs w:val="20"/>
              </w:rPr>
              <w:t>FINANCIAL POLICY AND ACKNOWLEDGEMENT</w:t>
            </w:r>
          </w:p>
        </w:tc>
      </w:tr>
    </w:tbl>
    <w:p w:rsidR="00CA281B" w:rsidRPr="00653076" w:rsidRDefault="00CA281B" w:rsidP="00CA281B">
      <w:pPr>
        <w:jc w:val="center"/>
        <w:rPr>
          <w:rFonts w:ascii="Verdana" w:hAnsi="Verdana"/>
          <w:sz w:val="20"/>
          <w:szCs w:val="20"/>
        </w:rPr>
      </w:pPr>
    </w:p>
    <w:p w:rsidR="00653076" w:rsidRDefault="00653076" w:rsidP="00966BEF">
      <w:pPr>
        <w:rPr>
          <w:rFonts w:ascii="Verdana" w:hAnsi="Verdana"/>
          <w:sz w:val="18"/>
          <w:szCs w:val="20"/>
        </w:rPr>
      </w:pPr>
    </w:p>
    <w:p w:rsidR="00966BEF" w:rsidRPr="00653076" w:rsidRDefault="00966BEF" w:rsidP="00966BEF">
      <w:pPr>
        <w:rPr>
          <w:rFonts w:ascii="Verdana" w:hAnsi="Verdana"/>
          <w:sz w:val="18"/>
          <w:szCs w:val="20"/>
        </w:rPr>
      </w:pPr>
      <w:r w:rsidRPr="00653076">
        <w:rPr>
          <w:rFonts w:ascii="Verdana" w:hAnsi="Verdana"/>
          <w:sz w:val="18"/>
          <w:szCs w:val="20"/>
        </w:rPr>
        <w:t>Thank you for choosing us for your dental needs. With a “Vow of Excellence” our primary focus is your dental health. We will work with you in achieving your dental health goals. We strongly believe that our patients deserve to know, up front, our financial policies. These are described below:</w:t>
      </w:r>
    </w:p>
    <w:p w:rsidR="00966BEF" w:rsidRPr="00653076" w:rsidRDefault="00966BEF" w:rsidP="00966BEF">
      <w:pPr>
        <w:rPr>
          <w:rFonts w:ascii="Verdana" w:hAnsi="Verdana"/>
          <w:sz w:val="18"/>
          <w:szCs w:val="20"/>
        </w:rPr>
      </w:pPr>
    </w:p>
    <w:p w:rsidR="00966BEF" w:rsidRPr="00653076" w:rsidRDefault="00966BEF" w:rsidP="00966BEF">
      <w:pPr>
        <w:rPr>
          <w:rFonts w:ascii="Verdana" w:hAnsi="Verdana"/>
          <w:b/>
          <w:sz w:val="18"/>
          <w:szCs w:val="20"/>
          <w:u w:val="single"/>
        </w:rPr>
      </w:pPr>
      <w:r w:rsidRPr="00653076">
        <w:rPr>
          <w:rFonts w:ascii="Verdana" w:hAnsi="Verdana"/>
          <w:b/>
          <w:sz w:val="18"/>
          <w:szCs w:val="20"/>
          <w:u w:val="single"/>
        </w:rPr>
        <w:t>For those patients with No insurance:</w:t>
      </w:r>
    </w:p>
    <w:p w:rsidR="00966BEF" w:rsidRPr="00653076" w:rsidRDefault="00966BEF" w:rsidP="00966BEF">
      <w:pPr>
        <w:rPr>
          <w:rFonts w:ascii="Verdana" w:hAnsi="Verdana"/>
          <w:sz w:val="18"/>
          <w:szCs w:val="20"/>
        </w:rPr>
      </w:pPr>
      <w:r w:rsidRPr="00653076">
        <w:rPr>
          <w:rFonts w:ascii="Verdana" w:hAnsi="Verdana"/>
          <w:sz w:val="18"/>
          <w:szCs w:val="20"/>
        </w:rPr>
        <w:t>Fees are due at the beginning of each dental appointment. However, complex/multi-appointment services (e.g., crown, bridge, denture or root canal procedures) require payment of 50% of the fee at the time of the start of treatment. The remaining balance for that treatment is due at the beginning of the appointment when the restoration is completed or the appliance (complete denture, partial denture, crown, etc.) is delivered. We also offer for your convenience the ability to finance your care by using a major credit card. (Visa, Master Card)</w:t>
      </w:r>
    </w:p>
    <w:p w:rsidR="00966BEF" w:rsidRPr="00653076" w:rsidRDefault="00966BEF" w:rsidP="00966BEF">
      <w:pPr>
        <w:rPr>
          <w:rFonts w:ascii="Verdana" w:hAnsi="Verdana"/>
          <w:sz w:val="18"/>
          <w:szCs w:val="20"/>
        </w:rPr>
      </w:pPr>
    </w:p>
    <w:p w:rsidR="00966BEF" w:rsidRPr="00653076" w:rsidRDefault="00966BEF" w:rsidP="00966BEF">
      <w:pPr>
        <w:rPr>
          <w:rFonts w:ascii="Verdana" w:hAnsi="Verdana"/>
          <w:b/>
          <w:sz w:val="18"/>
          <w:szCs w:val="20"/>
          <w:u w:val="single"/>
        </w:rPr>
      </w:pPr>
      <w:r w:rsidRPr="00653076">
        <w:rPr>
          <w:rFonts w:ascii="Verdana" w:hAnsi="Verdana"/>
          <w:b/>
          <w:sz w:val="18"/>
          <w:szCs w:val="20"/>
          <w:u w:val="single"/>
        </w:rPr>
        <w:t>For those patients with Insurance:</w:t>
      </w:r>
    </w:p>
    <w:p w:rsidR="00966BEF" w:rsidRPr="00653076" w:rsidRDefault="00966BEF" w:rsidP="00966BEF">
      <w:pPr>
        <w:rPr>
          <w:rFonts w:ascii="Verdana" w:hAnsi="Verdana"/>
          <w:sz w:val="18"/>
          <w:szCs w:val="20"/>
        </w:rPr>
      </w:pPr>
      <w:r w:rsidRPr="00653076">
        <w:rPr>
          <w:rFonts w:ascii="Verdana" w:hAnsi="Verdana"/>
          <w:sz w:val="18"/>
          <w:szCs w:val="20"/>
        </w:rPr>
        <w:t xml:space="preserve">As a courtesy we will file your insurance claim for you. We will instruct your insurance carrier to send all payments directly to our office for reimbursement. Most dental insurance benefits are subject to limitations, exclusions, deductibles, co-payments and maximum benefit coverage. In order to obtain your dental benefits, your insurance carrier often requires us to provide information before initiating treatment (preauthorization) for more complicated dental procedures. If payment for treatment is approved, you will be required to pay your “copayment” only. If you elect not to have your treatment preauthorized (some treatment does not require preauthorization) you will be required to pay for your dental treatment as it is completed. If you have made an overpayment because of your insurance benefit payment, you will be reimbursed. If your insurance company denies payment for any procedure because of a change in your benefits or eligibility, you are responsible for the full cost of the treatment. </w:t>
      </w:r>
    </w:p>
    <w:p w:rsidR="00966BEF" w:rsidRPr="00653076" w:rsidRDefault="00966BEF" w:rsidP="00966BEF">
      <w:pPr>
        <w:rPr>
          <w:rFonts w:ascii="Verdana" w:hAnsi="Verdana"/>
          <w:sz w:val="18"/>
          <w:szCs w:val="20"/>
        </w:rPr>
      </w:pPr>
    </w:p>
    <w:p w:rsidR="00966BEF" w:rsidRPr="00653076" w:rsidRDefault="00966BEF" w:rsidP="00966BEF">
      <w:pPr>
        <w:rPr>
          <w:rFonts w:ascii="Verdana" w:hAnsi="Verdana"/>
          <w:sz w:val="18"/>
          <w:szCs w:val="20"/>
        </w:rPr>
      </w:pPr>
      <w:r w:rsidRPr="00653076">
        <w:rPr>
          <w:rFonts w:ascii="Verdana" w:hAnsi="Verdana"/>
          <w:sz w:val="18"/>
          <w:szCs w:val="20"/>
        </w:rPr>
        <w:t xml:space="preserve">Our office recommends dental treatment based on medical necessity and not on whether your insurance company will cover a procedure. It is your responsibility to pay any amount not covered by your insurance company regardless of the reason. </w:t>
      </w:r>
    </w:p>
    <w:p w:rsidR="00966BEF" w:rsidRPr="00653076" w:rsidRDefault="00966BEF" w:rsidP="00966BEF">
      <w:pPr>
        <w:rPr>
          <w:rFonts w:ascii="Verdana" w:hAnsi="Verdana"/>
          <w:sz w:val="18"/>
          <w:szCs w:val="20"/>
          <w:u w:val="single"/>
        </w:rPr>
      </w:pPr>
    </w:p>
    <w:p w:rsidR="00966BEF" w:rsidRPr="00653076" w:rsidRDefault="00966BEF" w:rsidP="00966BEF">
      <w:pPr>
        <w:rPr>
          <w:rFonts w:ascii="Verdana" w:hAnsi="Verdana"/>
          <w:sz w:val="18"/>
          <w:szCs w:val="20"/>
        </w:rPr>
      </w:pPr>
      <w:r w:rsidRPr="00653076">
        <w:rPr>
          <w:rFonts w:ascii="Verdana" w:hAnsi="Verdana"/>
          <w:b/>
          <w:sz w:val="18"/>
          <w:szCs w:val="20"/>
          <w:u w:val="single"/>
        </w:rPr>
        <w:t>Interest Charges:</w:t>
      </w:r>
      <w:r w:rsidRPr="00653076">
        <w:rPr>
          <w:rFonts w:ascii="Verdana" w:hAnsi="Verdana"/>
          <w:sz w:val="18"/>
          <w:szCs w:val="20"/>
        </w:rPr>
        <w:t xml:space="preserve"> In the event of default of payment or after 90 days, a service charge of 1.5 percent per month or 18 percent annually will be added to any outstanding balances not paid within 30 days of the current monthly billing statement. All accounts in which effort to pay is not made will be subject to collection proceedings.   _______________</w:t>
      </w:r>
      <w:proofErr w:type="gramStart"/>
      <w:r w:rsidRPr="00653076">
        <w:rPr>
          <w:rFonts w:ascii="Verdana" w:hAnsi="Verdana"/>
          <w:sz w:val="18"/>
          <w:szCs w:val="20"/>
        </w:rPr>
        <w:t>_(</w:t>
      </w:r>
      <w:proofErr w:type="gramEnd"/>
      <w:r w:rsidRPr="00653076">
        <w:rPr>
          <w:rFonts w:ascii="Verdana" w:hAnsi="Verdana"/>
          <w:sz w:val="18"/>
          <w:szCs w:val="20"/>
        </w:rPr>
        <w:t>Initials)</w:t>
      </w:r>
    </w:p>
    <w:p w:rsidR="00966BEF" w:rsidRPr="00653076" w:rsidRDefault="00966BEF" w:rsidP="00966BEF">
      <w:pPr>
        <w:rPr>
          <w:rFonts w:ascii="Verdana" w:hAnsi="Verdana"/>
          <w:sz w:val="18"/>
          <w:szCs w:val="20"/>
          <w:u w:val="single"/>
        </w:rPr>
      </w:pPr>
    </w:p>
    <w:p w:rsidR="00966BEF" w:rsidRPr="00653076" w:rsidRDefault="00966BEF" w:rsidP="00966BEF">
      <w:pPr>
        <w:rPr>
          <w:rFonts w:ascii="Verdana" w:hAnsi="Verdana"/>
          <w:sz w:val="18"/>
          <w:szCs w:val="20"/>
        </w:rPr>
      </w:pPr>
      <w:r w:rsidRPr="00653076">
        <w:rPr>
          <w:rFonts w:ascii="Verdana" w:hAnsi="Verdana"/>
          <w:b/>
          <w:sz w:val="18"/>
          <w:szCs w:val="20"/>
          <w:u w:val="single"/>
        </w:rPr>
        <w:t>Collection Charge and Returned Checks:</w:t>
      </w:r>
      <w:r w:rsidRPr="00653076">
        <w:rPr>
          <w:rFonts w:ascii="Verdana" w:hAnsi="Verdana"/>
          <w:sz w:val="18"/>
          <w:szCs w:val="20"/>
        </w:rPr>
        <w:t xml:space="preserve"> Any account sent to an outside collection agency will be assessed a $50 collection fee. Any check returned for any reason by your bank will be assessed a $35 fee. __________________</w:t>
      </w:r>
      <w:proofErr w:type="gramStart"/>
      <w:r w:rsidRPr="00653076">
        <w:rPr>
          <w:rFonts w:ascii="Verdana" w:hAnsi="Verdana"/>
          <w:sz w:val="18"/>
          <w:szCs w:val="20"/>
        </w:rPr>
        <w:t>_(</w:t>
      </w:r>
      <w:proofErr w:type="gramEnd"/>
      <w:r w:rsidRPr="00653076">
        <w:rPr>
          <w:rFonts w:ascii="Verdana" w:hAnsi="Verdana"/>
          <w:sz w:val="18"/>
          <w:szCs w:val="20"/>
        </w:rPr>
        <w:t>Initials)</w:t>
      </w:r>
    </w:p>
    <w:p w:rsidR="00966BEF" w:rsidRPr="00653076" w:rsidRDefault="00966BEF" w:rsidP="00966BEF">
      <w:pPr>
        <w:rPr>
          <w:rFonts w:ascii="Verdana" w:hAnsi="Verdana"/>
          <w:sz w:val="18"/>
          <w:szCs w:val="20"/>
          <w:u w:val="single"/>
        </w:rPr>
      </w:pPr>
    </w:p>
    <w:p w:rsidR="00966BEF" w:rsidRPr="00653076" w:rsidRDefault="00966BEF" w:rsidP="00966BEF">
      <w:pPr>
        <w:rPr>
          <w:rFonts w:ascii="Verdana" w:hAnsi="Verdana"/>
          <w:sz w:val="18"/>
          <w:szCs w:val="20"/>
        </w:rPr>
      </w:pPr>
      <w:r w:rsidRPr="00653076">
        <w:rPr>
          <w:rFonts w:ascii="Verdana" w:hAnsi="Verdana"/>
          <w:b/>
          <w:sz w:val="18"/>
          <w:szCs w:val="20"/>
          <w:u w:val="single"/>
        </w:rPr>
        <w:t>Missed/Cancelled Appointment Charge:</w:t>
      </w:r>
      <w:r w:rsidRPr="00653076">
        <w:rPr>
          <w:rFonts w:ascii="Verdana" w:hAnsi="Verdana"/>
          <w:b/>
          <w:sz w:val="18"/>
          <w:szCs w:val="20"/>
        </w:rPr>
        <w:t xml:space="preserve"> </w:t>
      </w:r>
      <w:r w:rsidRPr="00653076">
        <w:rPr>
          <w:rFonts w:ascii="Verdana" w:hAnsi="Verdana"/>
          <w:sz w:val="18"/>
          <w:szCs w:val="20"/>
        </w:rPr>
        <w:t>Our office requires a 24-hour notice for any canceled appointments. A fee of $50 may be assessed for canceling an appointment without 24-hour notice.____________</w:t>
      </w:r>
      <w:proofErr w:type="gramStart"/>
      <w:r w:rsidRPr="00653076">
        <w:rPr>
          <w:rFonts w:ascii="Verdana" w:hAnsi="Verdana"/>
          <w:sz w:val="18"/>
          <w:szCs w:val="20"/>
        </w:rPr>
        <w:t>_(</w:t>
      </w:r>
      <w:proofErr w:type="gramEnd"/>
      <w:r w:rsidRPr="00653076">
        <w:rPr>
          <w:rFonts w:ascii="Verdana" w:hAnsi="Verdana"/>
          <w:sz w:val="18"/>
          <w:szCs w:val="20"/>
        </w:rPr>
        <w:t>Initials)</w:t>
      </w:r>
    </w:p>
    <w:p w:rsidR="00966BEF" w:rsidRPr="00653076" w:rsidRDefault="00966BEF" w:rsidP="00966BEF">
      <w:pPr>
        <w:rPr>
          <w:rFonts w:ascii="Verdana" w:hAnsi="Verdana"/>
          <w:sz w:val="18"/>
          <w:szCs w:val="20"/>
        </w:rPr>
      </w:pPr>
    </w:p>
    <w:p w:rsidR="00966BEF" w:rsidRPr="00653076" w:rsidRDefault="00966BEF" w:rsidP="00966BEF">
      <w:pPr>
        <w:rPr>
          <w:rFonts w:ascii="Verdana" w:hAnsi="Verdana"/>
          <w:i/>
          <w:sz w:val="18"/>
          <w:szCs w:val="20"/>
        </w:rPr>
      </w:pPr>
      <w:r w:rsidRPr="00653076">
        <w:rPr>
          <w:rFonts w:ascii="Verdana" w:hAnsi="Verdana"/>
          <w:i/>
          <w:sz w:val="18"/>
          <w:szCs w:val="20"/>
        </w:rPr>
        <w:t>The undersigned certifies that he/she has read and understands the foregoing, received a copy thereof, and is the patient, the patient’s legal representative, or is duly authorized by the patient as the patient’s general agent to execute the above and accept its terms.</w:t>
      </w:r>
    </w:p>
    <w:p w:rsidR="00966BEF" w:rsidRPr="00653076" w:rsidRDefault="00966BEF" w:rsidP="00966BEF">
      <w:pPr>
        <w:rPr>
          <w:rFonts w:ascii="Verdana" w:hAnsi="Verdana"/>
          <w:sz w:val="18"/>
          <w:szCs w:val="20"/>
        </w:rPr>
      </w:pPr>
    </w:p>
    <w:p w:rsidR="00966BEF" w:rsidRDefault="00966BEF" w:rsidP="00966BEF">
      <w:pPr>
        <w:rPr>
          <w:rFonts w:ascii="Verdana" w:hAnsi="Verdana"/>
          <w:sz w:val="18"/>
          <w:szCs w:val="20"/>
        </w:rPr>
      </w:pPr>
    </w:p>
    <w:p w:rsidR="00653076" w:rsidRPr="00653076" w:rsidRDefault="00653076" w:rsidP="00966BEF">
      <w:pPr>
        <w:rPr>
          <w:rFonts w:ascii="Verdana" w:hAnsi="Verdana"/>
          <w:sz w:val="18"/>
          <w:szCs w:val="20"/>
        </w:rPr>
      </w:pPr>
    </w:p>
    <w:p w:rsidR="00966BEF" w:rsidRPr="00653076" w:rsidRDefault="00966BEF" w:rsidP="00966BEF">
      <w:pPr>
        <w:rPr>
          <w:rFonts w:ascii="Verdana" w:hAnsi="Verdana"/>
          <w:sz w:val="18"/>
          <w:szCs w:val="20"/>
        </w:rPr>
      </w:pPr>
      <w:r w:rsidRPr="00653076">
        <w:rPr>
          <w:rFonts w:ascii="Verdana" w:hAnsi="Verdana"/>
          <w:sz w:val="18"/>
          <w:szCs w:val="20"/>
        </w:rPr>
        <w:t>________________________</w:t>
      </w:r>
      <w:r w:rsidR="00653076" w:rsidRPr="00653076">
        <w:rPr>
          <w:rFonts w:ascii="Verdana" w:hAnsi="Verdana"/>
          <w:sz w:val="18"/>
          <w:szCs w:val="20"/>
        </w:rPr>
        <w:t>__________          Da</w:t>
      </w:r>
      <w:r w:rsidRPr="00653076">
        <w:rPr>
          <w:rFonts w:ascii="Verdana" w:hAnsi="Verdana"/>
          <w:sz w:val="18"/>
          <w:szCs w:val="20"/>
        </w:rPr>
        <w:t>te___________________________</w:t>
      </w:r>
    </w:p>
    <w:p w:rsidR="00966BEF" w:rsidRPr="00653076" w:rsidRDefault="00966BEF" w:rsidP="00966BEF">
      <w:pPr>
        <w:rPr>
          <w:rFonts w:ascii="Verdana" w:hAnsi="Verdana"/>
          <w:sz w:val="18"/>
          <w:szCs w:val="20"/>
        </w:rPr>
      </w:pPr>
      <w:r w:rsidRPr="00653076">
        <w:rPr>
          <w:rFonts w:ascii="Verdana" w:hAnsi="Verdana"/>
          <w:sz w:val="18"/>
          <w:szCs w:val="20"/>
        </w:rPr>
        <w:t>Signature of the patient/parent/guardian</w:t>
      </w:r>
    </w:p>
    <w:p w:rsidR="00653076" w:rsidRDefault="00653076" w:rsidP="00966BEF">
      <w:pPr>
        <w:rPr>
          <w:rFonts w:ascii="Verdana" w:hAnsi="Verdana"/>
          <w:sz w:val="18"/>
          <w:szCs w:val="20"/>
        </w:rPr>
      </w:pPr>
    </w:p>
    <w:p w:rsidR="00653076" w:rsidRDefault="00653076" w:rsidP="00966BEF">
      <w:pPr>
        <w:rPr>
          <w:rFonts w:ascii="Verdana" w:hAnsi="Verdana"/>
          <w:sz w:val="18"/>
          <w:szCs w:val="20"/>
        </w:rPr>
      </w:pPr>
    </w:p>
    <w:p w:rsidR="00653076" w:rsidRPr="00653076" w:rsidRDefault="00653076" w:rsidP="00966BEF">
      <w:pPr>
        <w:rPr>
          <w:rFonts w:ascii="Verdana" w:hAnsi="Verdana"/>
          <w:sz w:val="18"/>
          <w:szCs w:val="20"/>
        </w:rPr>
      </w:pPr>
    </w:p>
    <w:p w:rsidR="00966BEF" w:rsidRPr="00653076" w:rsidRDefault="00966BEF" w:rsidP="00966BEF">
      <w:pPr>
        <w:rPr>
          <w:rFonts w:ascii="Verdana" w:hAnsi="Verdana"/>
          <w:sz w:val="18"/>
          <w:szCs w:val="20"/>
        </w:rPr>
      </w:pPr>
      <w:r w:rsidRPr="00653076">
        <w:rPr>
          <w:rFonts w:ascii="Verdana" w:hAnsi="Verdana"/>
          <w:sz w:val="18"/>
          <w:szCs w:val="20"/>
        </w:rPr>
        <w:t>__________________________________</w:t>
      </w:r>
    </w:p>
    <w:p w:rsidR="00CB3C88" w:rsidRPr="00653076" w:rsidRDefault="00966BEF">
      <w:pPr>
        <w:rPr>
          <w:rFonts w:ascii="Verdana" w:hAnsi="Verdana"/>
          <w:sz w:val="18"/>
          <w:szCs w:val="20"/>
        </w:rPr>
      </w:pPr>
      <w:r w:rsidRPr="00653076">
        <w:rPr>
          <w:rFonts w:ascii="Verdana" w:hAnsi="Verdana"/>
          <w:sz w:val="18"/>
          <w:szCs w:val="20"/>
        </w:rPr>
        <w:t>Printed Name</w:t>
      </w:r>
      <w:bookmarkStart w:id="0" w:name="_GoBack"/>
      <w:bookmarkEnd w:id="0"/>
    </w:p>
    <w:sectPr w:rsidR="00CB3C88" w:rsidRPr="00653076" w:rsidSect="0065307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D92" w:rsidRDefault="00264D92" w:rsidP="0049264E">
      <w:r>
        <w:separator/>
      </w:r>
    </w:p>
  </w:endnote>
  <w:endnote w:type="continuationSeparator" w:id="0">
    <w:p w:rsidR="00264D92" w:rsidRDefault="00264D92" w:rsidP="0049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D92" w:rsidRDefault="00264D92" w:rsidP="0049264E">
      <w:r>
        <w:separator/>
      </w:r>
    </w:p>
  </w:footnote>
  <w:footnote w:type="continuationSeparator" w:id="0">
    <w:p w:rsidR="00264D92" w:rsidRDefault="00264D92" w:rsidP="0049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4675"/>
    </w:tblGrid>
    <w:tr w:rsidR="003F39AD" w:rsidTr="00881506">
      <w:tc>
        <w:tcPr>
          <w:tcW w:w="4675" w:type="dxa"/>
        </w:tcPr>
        <w:p w:rsidR="003F39AD" w:rsidRDefault="003F39AD">
          <w:pPr>
            <w:pStyle w:val="Header"/>
          </w:pPr>
          <w:r>
            <w:rPr>
              <w:caps/>
              <w:noProof/>
              <w:color w:val="808080" w:themeColor="background1" w:themeShade="80"/>
              <w:sz w:val="20"/>
              <w:szCs w:val="20"/>
            </w:rPr>
            <w:drawing>
              <wp:inline distT="0" distB="0" distL="0" distR="0" wp14:anchorId="3D2533BB" wp14:editId="573E5144">
                <wp:extent cx="3538728" cy="87782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538728" cy="877824"/>
                        </a:xfrm>
                        <a:prstGeom prst="rect">
                          <a:avLst/>
                        </a:prstGeom>
                      </pic:spPr>
                    </pic:pic>
                  </a:graphicData>
                </a:graphic>
              </wp:inline>
            </w:drawing>
          </w:r>
        </w:p>
      </w:tc>
      <w:tc>
        <w:tcPr>
          <w:tcW w:w="4675" w:type="dxa"/>
        </w:tcPr>
        <w:p w:rsidR="003F39AD" w:rsidRDefault="00881506">
          <w:pPr>
            <w:pStyle w:val="Header"/>
          </w:pPr>
          <w:r>
            <w:rPr>
              <w:noProof/>
            </w:rPr>
            <mc:AlternateContent>
              <mc:Choice Requires="wps">
                <w:drawing>
                  <wp:anchor distT="91440" distB="91440" distL="114300" distR="114300" simplePos="0" relativeHeight="251663360" behindDoc="0" locked="0" layoutInCell="1" allowOverlap="1" wp14:anchorId="0FE4E364" wp14:editId="5AF4303E">
                    <wp:simplePos x="0" y="0"/>
                    <wp:positionH relativeFrom="page">
                      <wp:posOffset>120015</wp:posOffset>
                    </wp:positionH>
                    <wp:positionV relativeFrom="paragraph">
                      <wp:posOffset>32385</wp:posOffset>
                    </wp:positionV>
                    <wp:extent cx="217170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3985"/>
                            </a:xfrm>
                            <a:prstGeom prst="rect">
                              <a:avLst/>
                            </a:prstGeom>
                            <a:noFill/>
                            <a:ln w="9525">
                              <a:noFill/>
                              <a:miter lim="800000"/>
                              <a:headEnd/>
                              <a:tailEnd/>
                            </a:ln>
                          </wps:spPr>
                          <wps:txbx>
                            <w:txbxContent>
                              <w:p w:rsidR="003F39AD" w:rsidRDefault="003F39AD"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2770 S. Highland Ave, Unit 103</w:t>
                                </w:r>
                              </w:p>
                              <w:p w:rsidR="003F39AD" w:rsidRDefault="003F39AD"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Lombard, IL – 60148</w:t>
                                </w:r>
                              </w:p>
                              <w:p w:rsidR="003F39AD" w:rsidRDefault="00D334C9"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Phone: (630)</w:t>
                                </w:r>
                                <w:r w:rsidR="003F39AD">
                                  <w:rPr>
                                    <w:i/>
                                    <w:iCs/>
                                    <w:color w:val="4F81BD" w:themeColor="accent1"/>
                                  </w:rPr>
                                  <w:t xml:space="preserve"> 426 -6996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E364" id="_x0000_t202" coordsize="21600,21600" o:spt="202" path="m,l,21600r21600,l21600,xe">
                    <v:stroke joinstyle="miter"/>
                    <v:path gradientshapeok="t" o:connecttype="rect"/>
                  </v:shapetype>
                  <v:shape id="Text Box 2" o:spid="_x0000_s1026" type="#_x0000_t202" style="position:absolute;margin-left:9.45pt;margin-top:2.55pt;width:171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MrDAIAAPM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pMQwjS16&#10;EmMg72EkZVRnsL5Cp0eLbmHEZ+xyYurtA/Afnhi465nZi1vnYOgFa7G6IkZmV6ETjo8gzfAZWkzD&#10;DgES0Ng5HaVDMQiiY5dOl87EUjg+lsWyWOZo4mgr5vnb9WqRcrDqOdw6Hz4K0CQeauqw9QmeHR98&#10;iOWw6tklZjOwk0ql9itDhpquF+UiBVxZtAw4nUrqmq7yuKZ5iSw/mDYFBybVdMYEypxpR6YT5zA2&#10;IzpGLRpoTyiAg2kK8dfgoQf3i5IBJ7Cm/ueBOUGJ+mRQxHUxn8eRTZf5YlnixV1bmmsLMxyhahoo&#10;mY53IY155OrtLYq9k0mGl0rOteJkJXXOvyCO7vU9eb381e1vAAAA//8DAFBLAwQUAAYACAAAACEA&#10;H3252NsAAAAIAQAADwAAAGRycy9kb3ducmV2LnhtbEyPwU7DMBBE70j8g7VI3KhdI0IJcaoKteUI&#10;lIizG5skIl5btpuGv2c5wfFpRrNvq/XsRjbZmAaPCpYLAcxi682AnYLmfXezApayRqNHj1bBt02w&#10;ri8vKl0af8Y3Ox1yx2gEU6kV9DmHkvPU9tbptPDBImWfPjqdCWPHTdRnGncjl0IU3OkB6UKvg33q&#10;bft1ODkFIYf9/XN8ed1sd5NoPvaNHLqtUtdX8+YRWLZz/ivDrz6pQ01OR39Ck9hIvHqgpoK7JTCK&#10;bwtBfFQgZSGB1xX//0D9AwAA//8DAFBLAQItABQABgAIAAAAIQC2gziS/gAAAOEBAAATAAAAAAAA&#10;AAAAAAAAAAAAAABbQ29udGVudF9UeXBlc10ueG1sUEsBAi0AFAAGAAgAAAAhADj9If/WAAAAlAEA&#10;AAsAAAAAAAAAAAAAAAAALwEAAF9yZWxzLy5yZWxzUEsBAi0AFAAGAAgAAAAhAGwdMysMAgAA8wMA&#10;AA4AAAAAAAAAAAAAAAAALgIAAGRycy9lMm9Eb2MueG1sUEsBAi0AFAAGAAgAAAAhAB99udjbAAAA&#10;CAEAAA8AAAAAAAAAAAAAAAAAZgQAAGRycy9kb3ducmV2LnhtbFBLBQYAAAAABAAEAPMAAABuBQAA&#10;AAA=&#10;" filled="f" stroked="f">
                    <v:textbox style="mso-fit-shape-to-text:t">
                      <w:txbxContent>
                        <w:p w:rsidR="003F39AD" w:rsidRDefault="003F39AD"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2770 S. Highland Ave, Unit 103</w:t>
                          </w:r>
                        </w:p>
                        <w:p w:rsidR="003F39AD" w:rsidRDefault="003F39AD"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Lombard, IL – 60148</w:t>
                          </w:r>
                        </w:p>
                        <w:p w:rsidR="003F39AD" w:rsidRDefault="00D334C9" w:rsidP="003F39AD">
                          <w:pPr>
                            <w:pBdr>
                              <w:top w:val="single" w:sz="24" w:space="8" w:color="4F81BD" w:themeColor="accent1"/>
                              <w:bottom w:val="single" w:sz="24" w:space="8" w:color="4F81BD" w:themeColor="accent1"/>
                            </w:pBdr>
                            <w:rPr>
                              <w:i/>
                              <w:iCs/>
                              <w:color w:val="4F81BD" w:themeColor="accent1"/>
                            </w:rPr>
                          </w:pPr>
                          <w:r>
                            <w:rPr>
                              <w:i/>
                              <w:iCs/>
                              <w:color w:val="4F81BD" w:themeColor="accent1"/>
                            </w:rPr>
                            <w:t>Phone: (630)</w:t>
                          </w:r>
                          <w:r w:rsidR="003F39AD">
                            <w:rPr>
                              <w:i/>
                              <w:iCs/>
                              <w:color w:val="4F81BD" w:themeColor="accent1"/>
                            </w:rPr>
                            <w:t xml:space="preserve"> 426 -6996</w:t>
                          </w:r>
                        </w:p>
                      </w:txbxContent>
                    </v:textbox>
                    <w10:wrap type="topAndBottom" anchorx="page"/>
                  </v:shape>
                </w:pict>
              </mc:Fallback>
            </mc:AlternateContent>
          </w:r>
        </w:p>
      </w:tc>
    </w:tr>
  </w:tbl>
  <w:p w:rsidR="0049264E" w:rsidRDefault="0049264E" w:rsidP="00881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4C"/>
    <w:rsid w:val="000E74CE"/>
    <w:rsid w:val="00264D92"/>
    <w:rsid w:val="003F39AD"/>
    <w:rsid w:val="0049264E"/>
    <w:rsid w:val="004B3AC5"/>
    <w:rsid w:val="00653076"/>
    <w:rsid w:val="007310BF"/>
    <w:rsid w:val="00881506"/>
    <w:rsid w:val="009254F4"/>
    <w:rsid w:val="00966BEF"/>
    <w:rsid w:val="00984B4C"/>
    <w:rsid w:val="00A72363"/>
    <w:rsid w:val="00C838D3"/>
    <w:rsid w:val="00CA281B"/>
    <w:rsid w:val="00CB3C88"/>
    <w:rsid w:val="00D334C9"/>
    <w:rsid w:val="00D611B7"/>
    <w:rsid w:val="00F5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88357-186A-4FF7-93A2-E90395CD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8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64E"/>
    <w:pPr>
      <w:tabs>
        <w:tab w:val="center" w:pos="4680"/>
        <w:tab w:val="right" w:pos="9360"/>
      </w:tabs>
    </w:pPr>
  </w:style>
  <w:style w:type="character" w:customStyle="1" w:styleId="HeaderChar">
    <w:name w:val="Header Char"/>
    <w:basedOn w:val="DefaultParagraphFont"/>
    <w:link w:val="Header"/>
    <w:uiPriority w:val="99"/>
    <w:rsid w:val="004926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264E"/>
    <w:pPr>
      <w:tabs>
        <w:tab w:val="center" w:pos="4680"/>
        <w:tab w:val="right" w:pos="9360"/>
      </w:tabs>
    </w:pPr>
  </w:style>
  <w:style w:type="character" w:customStyle="1" w:styleId="FooterChar">
    <w:name w:val="Footer Char"/>
    <w:basedOn w:val="DefaultParagraphFont"/>
    <w:link w:val="Footer"/>
    <w:uiPriority w:val="99"/>
    <w:rsid w:val="004926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2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64E"/>
    <w:rPr>
      <w:rFonts w:ascii="Segoe UI" w:eastAsia="Times New Roman" w:hAnsi="Segoe UI" w:cs="Segoe UI"/>
      <w:sz w:val="18"/>
      <w:szCs w:val="18"/>
    </w:rPr>
  </w:style>
  <w:style w:type="table" w:styleId="TableGrid">
    <w:name w:val="Table Grid"/>
    <w:basedOn w:val="TableNormal"/>
    <w:uiPriority w:val="59"/>
    <w:rsid w:val="003F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dc:description/>
  <cp:lastModifiedBy>Contractor</cp:lastModifiedBy>
  <cp:revision>2</cp:revision>
  <dcterms:created xsi:type="dcterms:W3CDTF">2016-10-22T17:12:00Z</dcterms:created>
  <dcterms:modified xsi:type="dcterms:W3CDTF">2016-10-22T17:12:00Z</dcterms:modified>
</cp:coreProperties>
</file>